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SALES ASSESSMENT</w:t>
      </w:r>
    </w:p>
    <w:p>
      <w:r>
        <w:rPr>
          <w:b w:val="0"/>
        </w:rPr>
        <w:t xml:space="preserve">Report Analitico del Test di Vendita di </w:t>
      </w:r>
      <w:r>
        <w:rPr>
          <w:b w:val="0"/>
        </w:rPr>
        <w:t>Francesco Ramundo</w:t>
      </w:r>
    </w:p>
    <w:p>
      <w:r>
        <w:rPr>
          <w:b/>
        </w:rPr>
        <w:t xml:space="preserve">Azienda: </w:t>
      </w:r>
      <w:r>
        <w:rPr>
          <w:b w:val="0"/>
        </w:rPr>
        <w:t>rarosrl.com</w:t>
      </w:r>
    </w:p>
    <w:p>
      <w:r>
        <w:t>Questo documento fornisce un'analisi dettagliata della struttura commerciale dell'azienda, evidenziando punti di forza e aree di miglioramento.</w:t>
      </w:r>
    </w:p>
    <w:p>
      <w:r>
        <w:rPr>
          <w:b/>
          <w:color w:val="FF0000"/>
        </w:rPr>
        <w:t xml:space="preserve">Nota: </w:t>
      </w:r>
      <w:r>
        <w:t>Per garantire che il lavoro di ricerca venditori che svolgerà RecruitFlow funzioni e per garantire che il venditore trovato riesca ad effettuare il proprio lavoro in modo efficace è essenziale che le seguenti aree chiave raggiungano almeno l'85%:</w:t>
      </w:r>
    </w:p>
    <w:p>
      <w:r>
        <w:t>- Visione e Strategia di Vendita</w:t>
      </w:r>
    </w:p>
    <w:p>
      <w:r>
        <w:t>- Processi di Vendita</w:t>
      </w:r>
    </w:p>
    <w:p>
      <w:r>
        <w:t>- Script e Protocolli di Vendita</w:t>
      </w:r>
    </w:p>
    <w:p>
      <w:r>
        <w:t>- Formazione e Sviluppo del Team di Vendita</w:t>
      </w:r>
    </w:p>
    <w:p>
      <w:r>
        <w:br w:type="page"/>
      </w:r>
    </w:p>
    <w:p>
      <w:pPr>
        <w:pStyle w:val="Heading2"/>
      </w:pPr>
      <w:r>
        <w:t>Analisi Reparto Commerciale</w:t>
      </w:r>
    </w:p>
    <w:p>
      <w:r>
        <w:drawing>
          <wp:inline xmlns:a="http://schemas.openxmlformats.org/drawingml/2006/main" xmlns:pic="http://schemas.openxmlformats.org/drawingml/2006/picture">
            <wp:extent cx="5486400" cy="537452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general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745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Visione e Strategia di Vendita</w:t>
      </w:r>
    </w:p>
    <w:p>
      <w:r>
        <w:drawing>
          <wp:inline xmlns:a="http://schemas.openxmlformats.org/drawingml/2006/main" xmlns:pic="http://schemas.openxmlformats.org/drawingml/2006/picture">
            <wp:extent cx="5486400" cy="498047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Visione e Strategia di Vendita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04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Processi di Vendita</w:t>
      </w:r>
    </w:p>
    <w:p>
      <w:r>
        <w:drawing>
          <wp:inline xmlns:a="http://schemas.openxmlformats.org/drawingml/2006/main" xmlns:pic="http://schemas.openxmlformats.org/drawingml/2006/picture">
            <wp:extent cx="5486400" cy="498887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Processi di Vendita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8887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Script e Protocolli di Vendita</w:t>
      </w:r>
    </w:p>
    <w:p>
      <w:r>
        <w:drawing>
          <wp:inline xmlns:a="http://schemas.openxmlformats.org/drawingml/2006/main" xmlns:pic="http://schemas.openxmlformats.org/drawingml/2006/picture">
            <wp:extent cx="5486400" cy="500952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Script e Protocolli di Vendita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09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Tecnologia e CRM</w:t>
      </w:r>
    </w:p>
    <w:p>
      <w:r>
        <w:drawing>
          <wp:inline xmlns:a="http://schemas.openxmlformats.org/drawingml/2006/main" xmlns:pic="http://schemas.openxmlformats.org/drawingml/2006/picture">
            <wp:extent cx="5486400" cy="4992882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Tecnologia e CR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928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Formazione e Sviluppo del Team di Vendita</w:t>
      </w:r>
    </w:p>
    <w:p>
      <w:r>
        <w:drawing>
          <wp:inline xmlns:a="http://schemas.openxmlformats.org/drawingml/2006/main" xmlns:pic="http://schemas.openxmlformats.org/drawingml/2006/picture">
            <wp:extent cx="5486400" cy="4976495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Formazione e Sviluppo del Team di Vendita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64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2"/>
      </w:pPr>
      <w:r>
        <w:t>Misurazione e KPI</w:t>
      </w:r>
    </w:p>
    <w:p>
      <w:r>
        <w:drawing>
          <wp:inline xmlns:a="http://schemas.openxmlformats.org/drawingml/2006/main" xmlns:pic="http://schemas.openxmlformats.org/drawingml/2006/picture">
            <wp:extent cx="5486400" cy="4976354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rafico_Misurazione e KPI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76354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headerReference w:type="default" r:id="rId9"/>
      <w:foot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t>Sales Assessment™ SalesFlow - salesflow.it</w:t>
    </w:r>
  </w:p>
</w:ftr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  <w:jc w:val="center"/>
    </w:pPr>
    <w:r>
      <w:drawing>
        <wp:inline xmlns:a="http://schemas.openxmlformats.org/drawingml/2006/main" xmlns:pic="http://schemas.openxmlformats.org/drawingml/2006/picture">
          <wp:extent cx="1371600" cy="692073"/>
          <wp:docPr id="1" name="Picture 1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0" name="Logo-Sales-Flow-payoff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371600" cy="692073"/>
                  </a:xfrm>
                  <a:prstGeom prst="rect"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